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4F7B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0349EB4F" wp14:editId="45D4EA73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BFBBF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1EE5B4F7" w14:textId="2A39F269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A97342">
        <w:rPr>
          <w:b/>
          <w:sz w:val="36"/>
          <w:szCs w:val="36"/>
        </w:rPr>
        <w:t>3</w:t>
      </w:r>
    </w:p>
    <w:p w14:paraId="6D5C34C1" w14:textId="77777777" w:rsidR="003828E0" w:rsidRDefault="003828E0"/>
    <w:p w14:paraId="0560C5D4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262B401D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6C921747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3B93E0A6" w14:textId="34873170" w:rsidR="009477EC" w:rsidRPr="00FA2329" w:rsidRDefault="00323B6F">
            <w:pPr>
              <w:rPr>
                <w:sz w:val="28"/>
                <w:szCs w:val="28"/>
              </w:rPr>
            </w:pPr>
            <w:r w:rsidRPr="00FA2329">
              <w:rPr>
                <w:sz w:val="28"/>
                <w:szCs w:val="28"/>
              </w:rPr>
              <w:t>John MacNeil Elementary School</w:t>
            </w:r>
          </w:p>
          <w:p w14:paraId="331E22D6" w14:textId="77777777" w:rsidR="009477EC" w:rsidRPr="00FA2329" w:rsidRDefault="009477EC">
            <w:pPr>
              <w:rPr>
                <w:sz w:val="28"/>
                <w:szCs w:val="28"/>
              </w:rPr>
            </w:pPr>
          </w:p>
        </w:tc>
      </w:tr>
    </w:tbl>
    <w:p w14:paraId="6447603D" w14:textId="77777777" w:rsidR="009477EC" w:rsidRDefault="009477EC"/>
    <w:p w14:paraId="2143FDD9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43E9A668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486E20B5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230977BA" w14:textId="77777777" w:rsidTr="003828E0">
        <w:tc>
          <w:tcPr>
            <w:tcW w:w="9350" w:type="dxa"/>
          </w:tcPr>
          <w:p w14:paraId="75A1B7C6" w14:textId="3D3077AD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7"/>
              <w:gridCol w:w="2291"/>
            </w:tblGrid>
            <w:tr w:rsidR="00323B6F" w14:paraId="09C44414" w14:textId="77777777" w:rsidTr="005B40AF">
              <w:tc>
                <w:tcPr>
                  <w:tcW w:w="2287" w:type="dxa"/>
                </w:tcPr>
                <w:p w14:paraId="574FBA2D" w14:textId="77777777" w:rsidR="00323B6F" w:rsidRPr="00072B8D" w:rsidRDefault="00323B6F" w:rsidP="00323B6F">
                  <w:pPr>
                    <w:rPr>
                      <w:b/>
                    </w:rPr>
                  </w:pPr>
                  <w:r w:rsidRPr="00072B8D">
                    <w:rPr>
                      <w:b/>
                    </w:rPr>
                    <w:t>Partner</w:t>
                  </w:r>
                </w:p>
              </w:tc>
              <w:tc>
                <w:tcPr>
                  <w:tcW w:w="2291" w:type="dxa"/>
                </w:tcPr>
                <w:p w14:paraId="28A62ACA" w14:textId="77777777" w:rsidR="00323B6F" w:rsidRPr="00072B8D" w:rsidRDefault="00323B6F" w:rsidP="00323B6F">
                  <w:pPr>
                    <w:rPr>
                      <w:b/>
                    </w:rPr>
                  </w:pPr>
                  <w:r w:rsidRPr="00072B8D">
                    <w:rPr>
                      <w:b/>
                    </w:rPr>
                    <w:t>Name</w:t>
                  </w:r>
                </w:p>
              </w:tc>
            </w:tr>
            <w:tr w:rsidR="00323B6F" w14:paraId="3DFCCAD6" w14:textId="77777777" w:rsidTr="005B40AF">
              <w:tc>
                <w:tcPr>
                  <w:tcW w:w="2287" w:type="dxa"/>
                </w:tcPr>
                <w:p w14:paraId="49746BB0" w14:textId="77777777" w:rsidR="00323B6F" w:rsidRDefault="00323B6F" w:rsidP="00323B6F">
                  <w:r>
                    <w:t>Parent Member</w:t>
                  </w:r>
                </w:p>
              </w:tc>
              <w:tc>
                <w:tcPr>
                  <w:tcW w:w="2291" w:type="dxa"/>
                </w:tcPr>
                <w:p w14:paraId="1254102A" w14:textId="77777777" w:rsidR="00323B6F" w:rsidRDefault="00323B6F" w:rsidP="00323B6F">
                  <w:r>
                    <w:t>Lenufer Yeasmin</w:t>
                  </w:r>
                </w:p>
              </w:tc>
            </w:tr>
            <w:tr w:rsidR="003837DB" w14:paraId="666734ED" w14:textId="77777777" w:rsidTr="005B40AF">
              <w:tc>
                <w:tcPr>
                  <w:tcW w:w="2287" w:type="dxa"/>
                </w:tcPr>
                <w:p w14:paraId="05725A37" w14:textId="766CBCE3" w:rsidR="003837DB" w:rsidRDefault="003837DB" w:rsidP="00323B6F">
                  <w:r>
                    <w:t>Parent Member</w:t>
                  </w:r>
                </w:p>
              </w:tc>
              <w:tc>
                <w:tcPr>
                  <w:tcW w:w="2291" w:type="dxa"/>
                </w:tcPr>
                <w:p w14:paraId="0EFBA149" w14:textId="0BC8EA09" w:rsidR="003837DB" w:rsidRDefault="003837DB" w:rsidP="00323B6F">
                  <w:r>
                    <w:t>Velda Colley</w:t>
                  </w:r>
                </w:p>
              </w:tc>
            </w:tr>
            <w:tr w:rsidR="00323B6F" w14:paraId="58F0F0B9" w14:textId="77777777" w:rsidTr="005B40AF">
              <w:tc>
                <w:tcPr>
                  <w:tcW w:w="2287" w:type="dxa"/>
                </w:tcPr>
                <w:p w14:paraId="6FBAFAFE" w14:textId="77777777" w:rsidR="00323B6F" w:rsidRDefault="00323B6F" w:rsidP="00323B6F">
                  <w:r>
                    <w:t>Staff Member</w:t>
                  </w:r>
                </w:p>
              </w:tc>
              <w:tc>
                <w:tcPr>
                  <w:tcW w:w="2291" w:type="dxa"/>
                </w:tcPr>
                <w:p w14:paraId="733BD1EA" w14:textId="77777777" w:rsidR="00323B6F" w:rsidRDefault="00323B6F" w:rsidP="00323B6F">
                  <w:r>
                    <w:t>Elizabeth MacPherson</w:t>
                  </w:r>
                </w:p>
              </w:tc>
            </w:tr>
            <w:tr w:rsidR="00323B6F" w14:paraId="049C680D" w14:textId="77777777" w:rsidTr="005B40AF">
              <w:tc>
                <w:tcPr>
                  <w:tcW w:w="2287" w:type="dxa"/>
                </w:tcPr>
                <w:p w14:paraId="2E4FC6A5" w14:textId="77777777" w:rsidR="00323B6F" w:rsidRDefault="00323B6F" w:rsidP="00323B6F">
                  <w:r>
                    <w:t>Staff Member</w:t>
                  </w:r>
                </w:p>
              </w:tc>
              <w:tc>
                <w:tcPr>
                  <w:tcW w:w="2291" w:type="dxa"/>
                </w:tcPr>
                <w:p w14:paraId="45846ED3" w14:textId="77777777" w:rsidR="00323B6F" w:rsidRDefault="00323B6F" w:rsidP="00323B6F">
                  <w:r>
                    <w:t>Megan Douglas</w:t>
                  </w:r>
                </w:p>
              </w:tc>
            </w:tr>
            <w:tr w:rsidR="00323B6F" w14:paraId="1171D9FD" w14:textId="77777777" w:rsidTr="005B40AF">
              <w:tc>
                <w:tcPr>
                  <w:tcW w:w="2287" w:type="dxa"/>
                </w:tcPr>
                <w:p w14:paraId="57E2CC1A" w14:textId="4A8A3B15" w:rsidR="00323B6F" w:rsidRDefault="00323B6F" w:rsidP="00323B6F">
                  <w:r>
                    <w:t>Staff Member</w:t>
                  </w:r>
                </w:p>
              </w:tc>
              <w:tc>
                <w:tcPr>
                  <w:tcW w:w="2291" w:type="dxa"/>
                </w:tcPr>
                <w:p w14:paraId="32BCD631" w14:textId="164DFC0F" w:rsidR="00323B6F" w:rsidRDefault="00323B6F" w:rsidP="00323B6F">
                  <w:r>
                    <w:t>Melissa MacKenzie</w:t>
                  </w:r>
                </w:p>
              </w:tc>
            </w:tr>
            <w:tr w:rsidR="00323B6F" w14:paraId="79D9B7DE" w14:textId="77777777" w:rsidTr="005B40AF">
              <w:tc>
                <w:tcPr>
                  <w:tcW w:w="2287" w:type="dxa"/>
                </w:tcPr>
                <w:p w14:paraId="2BA47F35" w14:textId="34096EFE" w:rsidR="00323B6F" w:rsidRDefault="00323B6F" w:rsidP="00323B6F">
                  <w:r>
                    <w:t>Staff Member</w:t>
                  </w:r>
                </w:p>
              </w:tc>
              <w:tc>
                <w:tcPr>
                  <w:tcW w:w="2291" w:type="dxa"/>
                </w:tcPr>
                <w:p w14:paraId="60B0CDF2" w14:textId="12D3C7BB" w:rsidR="00323B6F" w:rsidRDefault="00323B6F" w:rsidP="00323B6F">
                  <w:r>
                    <w:t>Keanya Miller</w:t>
                  </w:r>
                </w:p>
              </w:tc>
            </w:tr>
            <w:tr w:rsidR="00323B6F" w14:paraId="01C4E2B4" w14:textId="77777777" w:rsidTr="005B40AF">
              <w:tc>
                <w:tcPr>
                  <w:tcW w:w="2287" w:type="dxa"/>
                </w:tcPr>
                <w:p w14:paraId="7F507490" w14:textId="77777777" w:rsidR="00323B6F" w:rsidRDefault="00323B6F" w:rsidP="00323B6F">
                  <w:r>
                    <w:t>Staff Member</w:t>
                  </w:r>
                </w:p>
              </w:tc>
              <w:tc>
                <w:tcPr>
                  <w:tcW w:w="2291" w:type="dxa"/>
                </w:tcPr>
                <w:p w14:paraId="4C94C135" w14:textId="77777777" w:rsidR="00323B6F" w:rsidRDefault="00323B6F" w:rsidP="00323B6F">
                  <w:r>
                    <w:t>Robyne Gorman</w:t>
                  </w:r>
                </w:p>
              </w:tc>
            </w:tr>
            <w:tr w:rsidR="00323B6F" w14:paraId="32AA0C79" w14:textId="77777777" w:rsidTr="005B40AF">
              <w:tc>
                <w:tcPr>
                  <w:tcW w:w="2287" w:type="dxa"/>
                </w:tcPr>
                <w:p w14:paraId="7939BBB3" w14:textId="77777777" w:rsidR="00323B6F" w:rsidRDefault="00323B6F" w:rsidP="00323B6F">
                  <w:r>
                    <w:t>Community Member</w:t>
                  </w:r>
                </w:p>
              </w:tc>
              <w:tc>
                <w:tcPr>
                  <w:tcW w:w="2291" w:type="dxa"/>
                </w:tcPr>
                <w:p w14:paraId="36E2B798" w14:textId="77777777" w:rsidR="00323B6F" w:rsidRDefault="00323B6F" w:rsidP="00323B6F">
                  <w:r>
                    <w:t>Diana Quinn (Chair)</w:t>
                  </w:r>
                </w:p>
              </w:tc>
            </w:tr>
            <w:tr w:rsidR="00323B6F" w14:paraId="5FC755B7" w14:textId="77777777" w:rsidTr="005B40AF">
              <w:tc>
                <w:tcPr>
                  <w:tcW w:w="2287" w:type="dxa"/>
                </w:tcPr>
                <w:p w14:paraId="40AD5805" w14:textId="77777777" w:rsidR="00323B6F" w:rsidRDefault="00323B6F" w:rsidP="00323B6F">
                  <w:r>
                    <w:t>Principal</w:t>
                  </w:r>
                </w:p>
              </w:tc>
              <w:tc>
                <w:tcPr>
                  <w:tcW w:w="2291" w:type="dxa"/>
                </w:tcPr>
                <w:p w14:paraId="55169E64" w14:textId="77777777" w:rsidR="00323B6F" w:rsidRDefault="00323B6F" w:rsidP="00323B6F">
                  <w:r>
                    <w:t>Neil Daigle</w:t>
                  </w:r>
                </w:p>
              </w:tc>
            </w:tr>
            <w:tr w:rsidR="00323B6F" w14:paraId="5C2AD5BB" w14:textId="77777777" w:rsidTr="005B40AF">
              <w:tc>
                <w:tcPr>
                  <w:tcW w:w="2287" w:type="dxa"/>
                </w:tcPr>
                <w:p w14:paraId="7D304330" w14:textId="77777777" w:rsidR="00323B6F" w:rsidRDefault="00323B6F" w:rsidP="00323B6F">
                  <w:r>
                    <w:t>Vice Principal</w:t>
                  </w:r>
                </w:p>
              </w:tc>
              <w:tc>
                <w:tcPr>
                  <w:tcW w:w="2291" w:type="dxa"/>
                </w:tcPr>
                <w:p w14:paraId="3F8E965A" w14:textId="548ED8B9" w:rsidR="00323B6F" w:rsidRDefault="00323B6F" w:rsidP="00323B6F">
                  <w:r>
                    <w:t>Neil Finley</w:t>
                  </w:r>
                </w:p>
              </w:tc>
            </w:tr>
          </w:tbl>
          <w:p w14:paraId="15FD8E3F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3B46B7E4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3D42E281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51721C72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49F830BA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7BBB1057" w14:textId="77777777" w:rsidTr="003828E0">
        <w:tc>
          <w:tcPr>
            <w:tcW w:w="9350" w:type="dxa"/>
          </w:tcPr>
          <w:p w14:paraId="21BA2931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0A0451E2" w14:textId="0E4FA918" w:rsidR="00B16BF9" w:rsidRDefault="00B16BF9" w:rsidP="00B16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proud to report that our </w:t>
            </w:r>
            <w:r w:rsidR="00023CA1">
              <w:rPr>
                <w:sz w:val="24"/>
                <w:szCs w:val="24"/>
              </w:rPr>
              <w:t>students have</w:t>
            </w:r>
            <w:r>
              <w:rPr>
                <w:sz w:val="24"/>
                <w:szCs w:val="24"/>
              </w:rPr>
              <w:t xml:space="preserve"> </w:t>
            </w:r>
            <w:r w:rsidR="00023CA1">
              <w:rPr>
                <w:sz w:val="24"/>
                <w:szCs w:val="24"/>
              </w:rPr>
              <w:t xml:space="preserve">continued to </w:t>
            </w:r>
            <w:r>
              <w:rPr>
                <w:sz w:val="24"/>
                <w:szCs w:val="24"/>
              </w:rPr>
              <w:t xml:space="preserve">demonstrate academic improvement throughout the year.  </w:t>
            </w:r>
            <w:r w:rsidR="00023CA1">
              <w:rPr>
                <w:sz w:val="24"/>
                <w:szCs w:val="24"/>
              </w:rPr>
              <w:t>Increased collaboration, additional professional development opportunities, and access to new resources h</w:t>
            </w:r>
            <w:r>
              <w:rPr>
                <w:sz w:val="24"/>
                <w:szCs w:val="24"/>
              </w:rPr>
              <w:t>eralded positive changes to instructional practice and resulted in growth for our young readers</w:t>
            </w:r>
            <w:r w:rsidR="00023CA1">
              <w:rPr>
                <w:sz w:val="24"/>
                <w:szCs w:val="24"/>
              </w:rPr>
              <w:t xml:space="preserve"> and mathematicians</w:t>
            </w:r>
            <w:r>
              <w:rPr>
                <w:sz w:val="24"/>
                <w:szCs w:val="24"/>
              </w:rPr>
              <w:t xml:space="preserve">.  The John MacNeil SAC was kept updated on this growth throughout the year and approved the purchase of specific literacy </w:t>
            </w:r>
            <w:r w:rsidR="00023CA1">
              <w:rPr>
                <w:sz w:val="24"/>
                <w:szCs w:val="24"/>
              </w:rPr>
              <w:t xml:space="preserve">and math </w:t>
            </w:r>
            <w:r>
              <w:rPr>
                <w:sz w:val="24"/>
                <w:szCs w:val="24"/>
              </w:rPr>
              <w:t>resource materials</w:t>
            </w:r>
            <w:r w:rsidR="00023CA1">
              <w:rPr>
                <w:sz w:val="24"/>
                <w:szCs w:val="24"/>
              </w:rPr>
              <w:t>.</w:t>
            </w:r>
          </w:p>
          <w:p w14:paraId="63032B92" w14:textId="77777777" w:rsidR="00B16BF9" w:rsidRDefault="00B16BF9" w:rsidP="00B16BF9">
            <w:pPr>
              <w:jc w:val="both"/>
              <w:rPr>
                <w:sz w:val="24"/>
                <w:szCs w:val="24"/>
              </w:rPr>
            </w:pPr>
          </w:p>
          <w:p w14:paraId="507F285B" w14:textId="10F3F74E" w:rsidR="00B16BF9" w:rsidRDefault="00023CA1" w:rsidP="00B16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continued our school goal of improving family and community involvement within the school.  We greatly increased and varied the ways we communicated with families.  Events </w:t>
            </w:r>
            <w:r>
              <w:rPr>
                <w:sz w:val="24"/>
                <w:szCs w:val="24"/>
              </w:rPr>
              <w:lastRenderedPageBreak/>
              <w:t xml:space="preserve">such as Curriculum Night, Arts Night, Readers Theatre, and Concert Night increased family access to our school.  </w:t>
            </w:r>
            <w:r w:rsidR="00B16BF9">
              <w:rPr>
                <w:sz w:val="24"/>
                <w:szCs w:val="24"/>
              </w:rPr>
              <w:t xml:space="preserve">Members of the SAC </w:t>
            </w:r>
            <w:r>
              <w:rPr>
                <w:sz w:val="24"/>
                <w:szCs w:val="24"/>
              </w:rPr>
              <w:t xml:space="preserve">helped brainstorm </w:t>
            </w:r>
            <w:r w:rsidR="00B16BF9">
              <w:rPr>
                <w:sz w:val="24"/>
                <w:szCs w:val="24"/>
              </w:rPr>
              <w:t xml:space="preserve">new and varied ways to </w:t>
            </w:r>
            <w:r>
              <w:rPr>
                <w:sz w:val="24"/>
                <w:szCs w:val="24"/>
              </w:rPr>
              <w:t>help increase family/school interactions and facilitate these visits.  W</w:t>
            </w:r>
            <w:r w:rsidR="00736E61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 xml:space="preserve">also </w:t>
            </w:r>
            <w:r w:rsidR="00736E61">
              <w:rPr>
                <w:sz w:val="24"/>
                <w:szCs w:val="24"/>
              </w:rPr>
              <w:t xml:space="preserve">strengthened our connections with </w:t>
            </w:r>
            <w:r>
              <w:rPr>
                <w:sz w:val="24"/>
                <w:szCs w:val="24"/>
              </w:rPr>
              <w:t xml:space="preserve">community stakeholders including </w:t>
            </w:r>
            <w:r w:rsidR="00B16BF9">
              <w:rPr>
                <w:sz w:val="24"/>
                <w:szCs w:val="24"/>
              </w:rPr>
              <w:t xml:space="preserve">the Dartmouth Masjid, Between the Bridges, </w:t>
            </w:r>
            <w:r w:rsidR="00986417">
              <w:rPr>
                <w:sz w:val="24"/>
                <w:szCs w:val="24"/>
              </w:rPr>
              <w:t xml:space="preserve">Out of the Cold Community Association, </w:t>
            </w:r>
            <w:r>
              <w:rPr>
                <w:sz w:val="24"/>
                <w:szCs w:val="24"/>
              </w:rPr>
              <w:t xml:space="preserve">The North Grove, the Dartmouth North Public Library, Nourish NS, </w:t>
            </w:r>
            <w:r w:rsidR="00F015B5">
              <w:rPr>
                <w:sz w:val="24"/>
                <w:szCs w:val="24"/>
              </w:rPr>
              <w:t xml:space="preserve">Oakwood Terrace, </w:t>
            </w:r>
            <w:r w:rsidR="00B16BF9">
              <w:rPr>
                <w:sz w:val="24"/>
                <w:szCs w:val="24"/>
              </w:rPr>
              <w:t>the Dartmouth North Community Centre</w:t>
            </w:r>
            <w:r w:rsidR="00853431">
              <w:rPr>
                <w:sz w:val="24"/>
                <w:szCs w:val="24"/>
              </w:rPr>
              <w:t>, and various local merchants</w:t>
            </w:r>
            <w:r w:rsidR="00B16BF9">
              <w:rPr>
                <w:sz w:val="24"/>
                <w:szCs w:val="24"/>
              </w:rPr>
              <w:t xml:space="preserve">. </w:t>
            </w:r>
          </w:p>
          <w:p w14:paraId="4C1FD1A9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526ED28A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297403C0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08FD892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6916C955" w14:textId="77777777" w:rsidTr="003828E0">
        <w:tc>
          <w:tcPr>
            <w:tcW w:w="9350" w:type="dxa"/>
          </w:tcPr>
          <w:p w14:paraId="62C0A4C1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1BACAF35" w14:textId="6959E03C" w:rsidR="000D63F3" w:rsidRDefault="0076179A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mentioned above, the </w:t>
            </w:r>
            <w:r w:rsidR="00023CA1">
              <w:rPr>
                <w:sz w:val="24"/>
                <w:szCs w:val="24"/>
              </w:rPr>
              <w:t>continued</w:t>
            </w:r>
            <w:r>
              <w:rPr>
                <w:sz w:val="24"/>
                <w:szCs w:val="24"/>
              </w:rPr>
              <w:t xml:space="preserve"> improvement in our school’s literacy </w:t>
            </w:r>
            <w:r w:rsidR="00023CA1">
              <w:rPr>
                <w:sz w:val="24"/>
                <w:szCs w:val="24"/>
              </w:rPr>
              <w:t xml:space="preserve">and math </w:t>
            </w:r>
            <w:r>
              <w:rPr>
                <w:sz w:val="24"/>
                <w:szCs w:val="24"/>
              </w:rPr>
              <w:t xml:space="preserve">results </w:t>
            </w:r>
            <w:r w:rsidR="00023CA1">
              <w:rPr>
                <w:sz w:val="24"/>
                <w:szCs w:val="24"/>
              </w:rPr>
              <w:t xml:space="preserve">was welcomed news.  </w:t>
            </w:r>
            <w:r w:rsidR="004C497C">
              <w:rPr>
                <w:sz w:val="24"/>
                <w:szCs w:val="24"/>
              </w:rPr>
              <w:t xml:space="preserve">As </w:t>
            </w:r>
            <w:r>
              <w:rPr>
                <w:sz w:val="24"/>
                <w:szCs w:val="24"/>
              </w:rPr>
              <w:t xml:space="preserve">was </w:t>
            </w:r>
            <w:r w:rsidR="004C497C">
              <w:rPr>
                <w:sz w:val="24"/>
                <w:szCs w:val="24"/>
              </w:rPr>
              <w:t xml:space="preserve">consistent positive results reported in our student surveys regarding students’ feelings toward school.  Our Primary to Grade 5 students reported higher levels of engagement, joy in school, and positive student/teacher relationships.  These results were significantly higher than the provincial average.  </w:t>
            </w:r>
          </w:p>
          <w:p w14:paraId="4FDD2E91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73504292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2A36AA1B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46C3135A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E289AB0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4A3A6CBC" w14:textId="77777777" w:rsidTr="003828E0">
        <w:tc>
          <w:tcPr>
            <w:tcW w:w="9350" w:type="dxa"/>
          </w:tcPr>
          <w:p w14:paraId="44CA2D20" w14:textId="77777777" w:rsidR="003828E0" w:rsidRDefault="003828E0"/>
          <w:p w14:paraId="1B31FEC4" w14:textId="77777777" w:rsidR="009477EC" w:rsidRDefault="009477EC"/>
          <w:p w14:paraId="68076C62" w14:textId="77777777" w:rsidR="009477EC" w:rsidRDefault="009477EC"/>
          <w:p w14:paraId="7FD5DADE" w14:textId="77777777" w:rsidR="003828E0" w:rsidRDefault="003828E0"/>
        </w:tc>
      </w:tr>
    </w:tbl>
    <w:p w14:paraId="3E6A4C54" w14:textId="77777777" w:rsidR="009477EC" w:rsidRDefault="009477EC"/>
    <w:p w14:paraId="0EFEF8CD" w14:textId="77777777" w:rsidR="009477EC" w:rsidRDefault="009477EC"/>
    <w:p w14:paraId="669B927C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794F79DB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7B6A6EC1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7902CC74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74C692E7" w14:textId="77777777" w:rsidTr="009477EC">
        <w:tc>
          <w:tcPr>
            <w:tcW w:w="9350" w:type="dxa"/>
          </w:tcPr>
          <w:p w14:paraId="28B7D02E" w14:textId="77777777" w:rsidR="00992040" w:rsidRDefault="00992040" w:rsidP="001C1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began the year with a balance of $5882.48 and received an additional $5238 in March.  </w:t>
            </w:r>
          </w:p>
          <w:p w14:paraId="36FDA71A" w14:textId="77777777" w:rsidR="00992040" w:rsidRDefault="00992040" w:rsidP="001C1882">
            <w:pPr>
              <w:jc w:val="both"/>
              <w:rPr>
                <w:sz w:val="24"/>
                <w:szCs w:val="24"/>
              </w:rPr>
            </w:pPr>
          </w:p>
          <w:p w14:paraId="75033AD2" w14:textId="1612F06B" w:rsidR="009477EC" w:rsidRDefault="00992040" w:rsidP="001C1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in the year, we committed to helping maintain the student incentive program associated with the school’s ongoing Positive Effective Behaviour Supports.  Student incentive purchases totalled $1467.28.    </w:t>
            </w:r>
            <w:r w:rsidR="001C1882">
              <w:rPr>
                <w:sz w:val="24"/>
                <w:szCs w:val="24"/>
              </w:rPr>
              <w:t xml:space="preserve">   </w:t>
            </w:r>
          </w:p>
          <w:p w14:paraId="1A3883B2" w14:textId="77777777" w:rsidR="00992040" w:rsidRDefault="00992040" w:rsidP="001C1882">
            <w:pPr>
              <w:jc w:val="both"/>
              <w:rPr>
                <w:sz w:val="24"/>
                <w:szCs w:val="24"/>
              </w:rPr>
            </w:pPr>
          </w:p>
          <w:p w14:paraId="3E2D8EA8" w14:textId="0638D200" w:rsidR="00992040" w:rsidRDefault="00992040" w:rsidP="001C1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also agreed to help support classroom teachers with purchases of resources (ex: books, </w:t>
            </w:r>
            <w:r w:rsidR="00FA6C33">
              <w:rPr>
                <w:sz w:val="24"/>
                <w:szCs w:val="24"/>
              </w:rPr>
              <w:t xml:space="preserve">SEL </w:t>
            </w:r>
            <w:r>
              <w:rPr>
                <w:sz w:val="24"/>
                <w:szCs w:val="24"/>
              </w:rPr>
              <w:t xml:space="preserve">toys, art </w:t>
            </w:r>
            <w:r w:rsidR="00FA6C33">
              <w:rPr>
                <w:sz w:val="24"/>
                <w:szCs w:val="24"/>
              </w:rPr>
              <w:t xml:space="preserve">&amp; science </w:t>
            </w:r>
            <w:r>
              <w:rPr>
                <w:sz w:val="24"/>
                <w:szCs w:val="24"/>
              </w:rPr>
              <w:t xml:space="preserve">supplies, furniture).  These purchases totalled </w:t>
            </w:r>
            <w:r w:rsidR="00FA6C3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4519.45.</w:t>
            </w:r>
            <w:r w:rsidR="00FA6C33">
              <w:rPr>
                <w:sz w:val="24"/>
                <w:szCs w:val="24"/>
              </w:rPr>
              <w:t xml:space="preserve">  </w:t>
            </w:r>
          </w:p>
        </w:tc>
      </w:tr>
    </w:tbl>
    <w:p w14:paraId="00FE99E3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51C6B8DC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2625795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2376D61F" w14:textId="77777777" w:rsidTr="003828E0">
        <w:tc>
          <w:tcPr>
            <w:tcW w:w="9350" w:type="dxa"/>
          </w:tcPr>
          <w:p w14:paraId="4FAEAB09" w14:textId="77777777" w:rsidR="003828E0" w:rsidRDefault="003828E0" w:rsidP="009477EC">
            <w:pPr>
              <w:jc w:val="both"/>
              <w:rPr>
                <w:sz w:val="24"/>
                <w:szCs w:val="24"/>
              </w:rPr>
            </w:pPr>
          </w:p>
          <w:p w14:paraId="7AE44D4F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21013802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779B97B8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6CE68E9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3AE2D870" w14:textId="77777777" w:rsidTr="003828E0">
        <w:tc>
          <w:tcPr>
            <w:tcW w:w="9350" w:type="dxa"/>
          </w:tcPr>
          <w:p w14:paraId="27186F52" w14:textId="77777777" w:rsidR="003828E0" w:rsidRDefault="003828E0">
            <w:pPr>
              <w:rPr>
                <w:sz w:val="24"/>
                <w:szCs w:val="24"/>
              </w:rPr>
            </w:pPr>
          </w:p>
          <w:p w14:paraId="6F7371D5" w14:textId="77777777" w:rsidR="009477EC" w:rsidRDefault="009477EC">
            <w:pPr>
              <w:rPr>
                <w:sz w:val="24"/>
                <w:szCs w:val="24"/>
              </w:rPr>
            </w:pPr>
          </w:p>
        </w:tc>
      </w:tr>
    </w:tbl>
    <w:p w14:paraId="2B96156F" w14:textId="77777777" w:rsidR="003828E0" w:rsidRDefault="003828E0">
      <w:pPr>
        <w:rPr>
          <w:sz w:val="24"/>
          <w:szCs w:val="24"/>
        </w:rPr>
      </w:pPr>
    </w:p>
    <w:p w14:paraId="37C10783" w14:textId="77777777" w:rsidR="00A47558" w:rsidRPr="00A47558" w:rsidRDefault="00A47558" w:rsidP="00A47558">
      <w:pPr>
        <w:jc w:val="center"/>
      </w:pPr>
      <w:r w:rsidRPr="00A47558">
        <w:t>Please return to School</w:t>
      </w:r>
      <w:r w:rsidR="0062379C">
        <w:t xml:space="preserve"> S</w:t>
      </w:r>
      <w:r w:rsidR="00B816C6">
        <w:t>upervisor by Monday, June 2</w:t>
      </w:r>
      <w:r w:rsidR="00E22A3B">
        <w:t>0</w:t>
      </w:r>
      <w:r w:rsidR="00B816C6">
        <w:t>, 202</w:t>
      </w:r>
      <w:r w:rsidR="00E22A3B">
        <w:t>2</w:t>
      </w:r>
      <w:r w:rsidRPr="00A47558">
        <w:t>. Thank you.</w:t>
      </w:r>
    </w:p>
    <w:sectPr w:rsidR="00A47558" w:rsidRPr="00A4755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8BA7" w14:textId="77777777" w:rsidR="005C64A2" w:rsidRDefault="005C64A2" w:rsidP="009477EC">
      <w:pPr>
        <w:spacing w:after="0" w:line="240" w:lineRule="auto"/>
      </w:pPr>
      <w:r>
        <w:separator/>
      </w:r>
    </w:p>
  </w:endnote>
  <w:endnote w:type="continuationSeparator" w:id="0">
    <w:p w14:paraId="31F78B8F" w14:textId="77777777" w:rsidR="005C64A2" w:rsidRDefault="005C64A2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9337B88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16D112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E399" w14:textId="77777777" w:rsidR="005C64A2" w:rsidRDefault="005C64A2" w:rsidP="009477EC">
      <w:pPr>
        <w:spacing w:after="0" w:line="240" w:lineRule="auto"/>
      </w:pPr>
      <w:r>
        <w:separator/>
      </w:r>
    </w:p>
  </w:footnote>
  <w:footnote w:type="continuationSeparator" w:id="0">
    <w:p w14:paraId="333ECD6E" w14:textId="77777777" w:rsidR="005C64A2" w:rsidRDefault="005C64A2" w:rsidP="00947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023CA1"/>
    <w:rsid w:val="000D63F3"/>
    <w:rsid w:val="001C1882"/>
    <w:rsid w:val="0030505B"/>
    <w:rsid w:val="00323B6F"/>
    <w:rsid w:val="003828E0"/>
    <w:rsid w:val="003837DB"/>
    <w:rsid w:val="003D325B"/>
    <w:rsid w:val="004C497C"/>
    <w:rsid w:val="005C64A2"/>
    <w:rsid w:val="0062379C"/>
    <w:rsid w:val="006D2BB0"/>
    <w:rsid w:val="00736E61"/>
    <w:rsid w:val="0076179A"/>
    <w:rsid w:val="00812A9B"/>
    <w:rsid w:val="008151D9"/>
    <w:rsid w:val="00853431"/>
    <w:rsid w:val="009477EC"/>
    <w:rsid w:val="00986417"/>
    <w:rsid w:val="00992040"/>
    <w:rsid w:val="00A47558"/>
    <w:rsid w:val="00A97342"/>
    <w:rsid w:val="00B16BF9"/>
    <w:rsid w:val="00B816C6"/>
    <w:rsid w:val="00DC32E6"/>
    <w:rsid w:val="00E02C86"/>
    <w:rsid w:val="00E22A3B"/>
    <w:rsid w:val="00E40ECE"/>
    <w:rsid w:val="00E67127"/>
    <w:rsid w:val="00EA10CB"/>
    <w:rsid w:val="00F015B5"/>
    <w:rsid w:val="00FA2329"/>
    <w:rsid w:val="00F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3926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ce.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Neil Daigle</cp:lastModifiedBy>
  <cp:revision>2</cp:revision>
  <cp:lastPrinted>2019-05-31T17:21:00Z</cp:lastPrinted>
  <dcterms:created xsi:type="dcterms:W3CDTF">2023-06-22T21:10:00Z</dcterms:created>
  <dcterms:modified xsi:type="dcterms:W3CDTF">2023-06-22T21:10:00Z</dcterms:modified>
</cp:coreProperties>
</file>